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0"/>
        </w:rPr>
        <w:t>AEGIS – Reference Architecture v0.1</w:t>
      </w:r>
    </w:p>
    <w:p>
      <w:r>
        <w:t>Advanced Enterprise Governance &amp; Identity System</w:t>
      </w:r>
    </w:p>
    <w:p>
      <w:r>
        <w:t>Author: Baltasar Collantes Giner</w:t>
      </w:r>
    </w:p>
    <w:p>
      <w:r>
        <w:t>https://aegis-identityfabric.com/</w:t>
      </w:r>
    </w:p>
    <w:p>
      <w:r>
        <w:rPr>
          <w:b/>
          <w:sz w:val="28"/>
        </w:rPr>
        <w:t>1. Purpose</w:t>
      </w:r>
    </w:p>
    <w:p>
      <w:r>
        <w:t>AEGIS defines a reference architecture for unified identity governance across hybrid and multi‑cloud infrastructure environments. It focuses on identity federation, privileged access governance, policy‑driven access control and auditable security operations aligned with Zero Trust principles.</w:t>
      </w:r>
    </w:p>
    <w:p>
      <w:r>
        <w:rPr>
          <w:b/>
          <w:sz w:val="28"/>
        </w:rPr>
        <w:t>2. Design Principles</w:t>
      </w:r>
    </w:p>
    <w:p>
      <w:pPr>
        <w:pStyle w:val="ListBullet"/>
      </w:pPr>
      <w:r>
        <w:t>Identity as the primary security control plane</w:t>
      </w:r>
    </w:p>
    <w:p>
      <w:pPr>
        <w:pStyle w:val="ListBullet"/>
      </w:pPr>
      <w:r>
        <w:t>Zero Trust: verify explicitly and enforce least privilege</w:t>
      </w:r>
    </w:p>
    <w:p>
      <w:pPr>
        <w:pStyle w:val="ListBullet"/>
      </w:pPr>
      <w:r>
        <w:t>Vendor‑neutral architecture</w:t>
      </w:r>
    </w:p>
    <w:p>
      <w:pPr>
        <w:pStyle w:val="ListBullet"/>
      </w:pPr>
      <w:r>
        <w:t>Separation between policy decision and policy enforcement</w:t>
      </w:r>
    </w:p>
    <w:p>
      <w:pPr>
        <w:pStyle w:val="ListBullet"/>
      </w:pPr>
      <w:r>
        <w:t>Auditability and compliance by design</w:t>
      </w:r>
    </w:p>
    <w:p>
      <w:pPr>
        <w:pStyle w:val="ListBullet"/>
      </w:pPr>
      <w:r>
        <w:t>Hybrid and multi‑cloud interoperability</w:t>
      </w:r>
    </w:p>
    <w:p>
      <w:r>
        <w:rPr>
          <w:b/>
          <w:sz w:val="28"/>
        </w:rPr>
        <w:t>3. Core Capabilities</w:t>
      </w:r>
    </w:p>
    <w:p>
      <w:pPr>
        <w:pStyle w:val="ListBullet"/>
      </w:pPr>
      <w:r>
        <w:t>Identity Federation (human identities across providers)</w:t>
      </w:r>
    </w:p>
    <w:p>
      <w:pPr>
        <w:pStyle w:val="ListBullet"/>
      </w:pPr>
      <w:r>
        <w:t>Privileged Access Management integration</w:t>
      </w:r>
    </w:p>
    <w:p>
      <w:pPr>
        <w:pStyle w:val="ListBullet"/>
      </w:pPr>
      <w:r>
        <w:t>Access Fabric orchestration layer</w:t>
      </w:r>
    </w:p>
    <w:p>
      <w:pPr>
        <w:pStyle w:val="ListBullet"/>
      </w:pPr>
      <w:r>
        <w:t>Policy Decision &amp; Enforcement model</w:t>
      </w:r>
    </w:p>
    <w:p>
      <w:pPr>
        <w:pStyle w:val="ListBullet"/>
      </w:pPr>
      <w:r>
        <w:t>Centralized audit and evidence collection</w:t>
      </w:r>
    </w:p>
    <w:p>
      <w:pPr>
        <w:pStyle w:val="ListBullet"/>
      </w:pPr>
      <w:r>
        <w:t>Integration with SIEM and observability systems</w:t>
      </w:r>
    </w:p>
    <w:p>
      <w:r>
        <w:rPr>
          <w:b/>
          <w:sz w:val="28"/>
        </w:rPr>
        <w:t>4. Logical Architecture Components</w:t>
      </w:r>
    </w:p>
    <w:p>
      <w:pPr>
        <w:pStyle w:val="ListBullet"/>
      </w:pPr>
      <w:r>
        <w:t>Identity Providers (IdP): Azure AD, Keycloak, INDIGO IAM</w:t>
      </w:r>
    </w:p>
    <w:p>
      <w:pPr>
        <w:pStyle w:val="ListBullet"/>
      </w:pPr>
      <w:r>
        <w:t>Privileged Access Gateway: JumpServer or equivalent</w:t>
      </w:r>
    </w:p>
    <w:p>
      <w:pPr>
        <w:pStyle w:val="ListBullet"/>
      </w:pPr>
      <w:r>
        <w:t>Policy Decision Point (PDP)</w:t>
      </w:r>
    </w:p>
    <w:p>
      <w:pPr>
        <w:pStyle w:val="ListBullet"/>
      </w:pPr>
      <w:r>
        <w:t>Policy Enforcement Points (PEP)</w:t>
      </w:r>
    </w:p>
    <w:p>
      <w:pPr>
        <w:pStyle w:val="ListBullet"/>
      </w:pPr>
      <w:r>
        <w:t>Audit &amp; Telemetry Layer</w:t>
      </w:r>
    </w:p>
    <w:p>
      <w:pPr>
        <w:pStyle w:val="ListBullet"/>
      </w:pPr>
      <w:r>
        <w:t>Integration adapters for cloud and on‑prem infrastructure</w:t>
      </w:r>
    </w:p>
    <w:p>
      <w:r>
        <w:rPr>
          <w:b/>
          <w:sz w:val="28"/>
        </w:rPr>
        <w:t>5. Integration Patterns</w:t>
      </w:r>
    </w:p>
    <w:p>
      <w:pPr>
        <w:pStyle w:val="ListBullet"/>
      </w:pPr>
      <w:r>
        <w:t>Azure / AWS identity federation</w:t>
      </w:r>
    </w:p>
    <w:p>
      <w:pPr>
        <w:pStyle w:val="ListBullet"/>
      </w:pPr>
      <w:r>
        <w:t>OpenStack identity integration</w:t>
      </w:r>
    </w:p>
    <w:p>
      <w:pPr>
        <w:pStyle w:val="ListBullet"/>
      </w:pPr>
      <w:r>
        <w:t>Privileged access through controlled jump hosts</w:t>
      </w:r>
    </w:p>
    <w:p>
      <w:pPr>
        <w:pStyle w:val="ListBullet"/>
      </w:pPr>
      <w:r>
        <w:t>Audit export to SIEM platforms</w:t>
      </w:r>
    </w:p>
    <w:p>
      <w:pPr>
        <w:pStyle w:val="ListBullet"/>
      </w:pPr>
      <w:r>
        <w:t>API‑driven access enforcement</w:t>
      </w:r>
    </w:p>
    <w:p>
      <w:r>
        <w:rPr>
          <w:b/>
          <w:sz w:val="28"/>
        </w:rPr>
        <w:t>6. Compliance Alignment</w:t>
      </w:r>
    </w:p>
    <w:p>
      <w:pPr>
        <w:pStyle w:val="ListBullet"/>
      </w:pPr>
      <w:r>
        <w:t>ISO 27001 – Identity and access management controls</w:t>
      </w:r>
    </w:p>
    <w:p>
      <w:pPr>
        <w:pStyle w:val="ListBullet"/>
      </w:pPr>
      <w:r>
        <w:t>NIST 800‑207 – Zero Trust Architecture</w:t>
      </w:r>
    </w:p>
    <w:p>
      <w:pPr>
        <w:pStyle w:val="ListBullet"/>
      </w:pPr>
      <w:r>
        <w:t>ENS (Spain) – High assurance identity governance</w:t>
      </w:r>
    </w:p>
    <w:p>
      <w:pPr>
        <w:pStyle w:val="ListBullet"/>
      </w:pPr>
      <w:r>
        <w:t>CIS Controls – Access and auditability</w:t>
      </w:r>
    </w:p>
    <w:p>
      <w:r>
        <w:rPr>
          <w:b/>
          <w:sz w:val="28"/>
        </w:rPr>
        <w:t>7. Reference Implementation (Concept)</w:t>
      </w:r>
    </w:p>
    <w:p>
      <w:pPr>
        <w:pStyle w:val="ListBullet"/>
      </w:pPr>
      <w:r>
        <w:t>Identity: INDIGO IAM / Keycloak</w:t>
      </w:r>
    </w:p>
    <w:p>
      <w:pPr>
        <w:pStyle w:val="ListBullet"/>
      </w:pPr>
      <w:r>
        <w:t>PAM: JumpServer</w:t>
      </w:r>
    </w:p>
    <w:p>
      <w:pPr>
        <w:pStyle w:val="ListBullet"/>
      </w:pPr>
      <w:r>
        <w:t>Policy Layer: AEGIS Access Fabric</w:t>
      </w:r>
    </w:p>
    <w:p>
      <w:pPr>
        <w:pStyle w:val="ListBullet"/>
      </w:pPr>
      <w:r>
        <w:t>Audit: centralized log aggregation</w:t>
      </w:r>
    </w:p>
    <w:p>
      <w:pPr>
        <w:pStyle w:val="ListBullet"/>
      </w:pPr>
      <w:r>
        <w:t>Integration with hybrid cloud infrastructure</w:t>
      </w:r>
    </w:p>
    <w:p>
      <w:r>
        <w:rPr>
          <w:b/>
          <w:sz w:val="28"/>
        </w:rPr>
        <w:t>8. Future Extensions</w:t>
      </w:r>
    </w:p>
    <w:p>
      <w:pPr>
        <w:pStyle w:val="ListBullet"/>
      </w:pPr>
      <w:r>
        <w:t>Machine / Workload Identity governance</w:t>
      </w:r>
    </w:p>
    <w:p>
      <w:pPr>
        <w:pStyle w:val="ListBullet"/>
      </w:pPr>
      <w:r>
        <w:t>Risk‑based adaptive access</w:t>
      </w:r>
    </w:p>
    <w:p>
      <w:pPr>
        <w:pStyle w:val="ListBullet"/>
      </w:pPr>
      <w:r>
        <w:t>Identity telemetry analytics</w:t>
      </w:r>
    </w:p>
    <w:p>
      <w:pPr>
        <w:pStyle w:val="ListBullet"/>
      </w:pPr>
      <w:r>
        <w:t>Integration with ARGOS autonomous remediation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